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заявлениями, впоследствии объединёнными в одно производство для совместного рассмотрения, о признании недействительными сделками перечисления 25.12.2015 в пользу союза 15 246 008 рублей 96 копеек, а также соглашения от 16.01.2017 № 1, от 31.07.2017 № 2, от 14.08.2017 № 3, от 22.09.2017 № 4, от 22.09.2017 № 5 о передаче должнику принадлежащих союзу прав требования к акционерному обществу «Мираф-Банк»; о применении последствий недействительности названных сделок. Определением Арбитражного суда города Санкт-Петербурга и Ленинградской области от 02.09.2022, оставленным без изменения постановлениями Тринадцатого арбитражного апелляционного суда от 27.12.2022 и Арбитражного суда Северо-Западного округа от 27.04.2023, требования удовлетворены частично; оспариваемые соглашения о зачёте признаны недействительными сделками; применены последствия недействительности в виде восстановления права требования должника к союзу на 15 246 008 рублей 96 копеек. Отказано в признании недействительной сделки по перечислению денежных средств. 2 В кассационной жалобе, поданной в Верховный Суд Российской Федерации, заявитель просит отменить названные судебные акты в части удовлетворения требований и принять новый судебный акт об отказе в их удовлетворении.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пункта 2 статьи 61.2 Федерального закона от 26.10.2002 № 127-ФЗ «О несостоятельности (банкротстве)», установив совершение оспариваемых сделок аффилированными лицами с противоправной целью в пределах периода подозрительности, при наличии признаков несостоятельности должника в отсутствии экономической целесообразности, пришли к выводу об обоснованности заявления, указав на следствие сделок – причинение вреда имущественным правам кредиторов должника, правомерно применив последствия недействительности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