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об исключении из конкурсной массы перечисленного им имущества (автомобилей). Определением Арбитражного суда города Москвы от 02.11.2022, оставленным без изменения постановлениями Девятого арбитражного апелляционного суда от 18.01.2023 и Арбитражного суда Московского округа от 26.04.2023, заявление удовлетворено частично. Из конкурсной массы исключено имущество должника, за исключением автомобиля марки «Порш Кайен» 2006 г.в., ГРЗ А963АА77, VIN WPIZZZ9PZ6LA84942 (далее – спорный автомобиль).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Исходя из доводов кассационной жалобы, заявитель не согласен с обжалуемыми судебными актами в части отказа в исключении спорного автомобиля из конкурсной массы.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статьёй 446 Гражданского процессуального кодекса Российской Федерации, статьями 213.25, 213.26 Федерального закона от 26.10.2002 № 127-ФЗ «О несостоятельности (банкротстве), пунктами 7 – 9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исходили из принадлежности спорного автомобиля должнику и отсутствия оснований для исключения из конкурсной массы ввиду его перерегистрации на супругу в период брака при отсутствии подтверждения производимого ими раздела совместно нажитого имущества. Выводы судов в обжалуемой заявителем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