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«ВК–Строй» обратилось в суд с заявлением о включении в третью очередь реестра требований кредиторов должника (далее – реестр) задолженности в размере 20 218 449 рублей 10 копеек. Определением Арбитражного суда Свердловской области от 13.12.2022, оставленным без изменения постановлениями Семнадцатого арбитражного апелляционного суда от 02.02.2023 и Арбитражного суда Уральского округа от 04.05.2023, требование включено в третью очередь реестра. В кассационных жалобах, поданных в Верховный Суд Российской Федерации, заявители просят отменить оспариваемые судебные акты,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оценив представленные в материалы дела доказательства, руководствуясь статьями 71, 100 Федерального закона от 26.10.2002 № 127-ФЗ «О несостоятельности (банкротстве)», разъяснениями, изложенными в пункте 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29.01.2020, исходили из обоснованности заявленного требования и наличия оснований для включения его в третью очередь реестра, отклонив доводы кредиторов о необходимости понижения очередности удовлетворения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