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Бурнашевская Екатерина Андреевна обратилась в суд с заявлением о пересмотре по вновь открывшимся обстоятельствам определений Арбитражного суда Республики Татарстан от 24.05.2017 о включении требований общества в реестр требований кредиторов должника. Решением Арбитражного суда Республики Татарстан от 31.05.2022 заявление удовлетворено. Постановлением Одиннадцатого арбитражного апелляционного суда от 27.02.2023 данное решение отменено, в удовлетворении заявления отказано. Постановлением Арбитражного суда Поволжского округа от 12.05.2023 отменено постановление апелляционного суда от 27.02.2023, решение суда первой инстанции от 31.05.2022 оставлено в силе.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статьями 309, 311, 312 Арбитражного процессуального кодекса Российской Федерации, пунктами 4 и 5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согласился с содержащимися в нём выводами о раскрытии конкурсным управляющим новых обстоятельств, имеющих существенное значение для рассмотрения вопросов включения требований общества в реестр и определения очерёдности их удовлетворения, а также соблюдения срока на подачу заявления.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