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и дополнений к ней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жалобы, изложенные в судебных актах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В целом доводы кассационной жалобы являлись предметом рассмотрения судов и получили правовую оценку с учетом установленных обстоятельств дела, направлены на переоценку доказательств и установление иных 2 обстоятельств по делу, отличных от установленных судами, что не входит в полномочия кассационной инстанции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