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07.06.2022 заявление кредитора ООО КБ «Дорис Банк» о признании индивидуального предпринимателя Дитюка А.И. несостоятельным (банкротом) признано обоснованным; в отношении должника введена процедура реструктуризации долгов гражданина; финансовым управляющим имуществом должника утверждена Дудина Е.В.; требование ООО КБ «Дорис Банк» в размере 914 354 501 рубля 28 копеек включено в третью очередь реестра требований кредиторов должника. Постановлением Девятого арбитражного апелляционного суда от 07.09.2022 производство по апелляционной жалобе на определение суда первой инстанции от 11.08.2021 прекращено; определение суда первой инстанции от 07.06.2022 оставлено без изменения. Определением Арбитражного суда Московского округа от 17.04.2023 кассационная жалоба возвращена на основании пункта 1 части 1 статьи 281 Арбитражного процессуального кодекса Российской Федерации, поскольку законность оспариваемых судебных актов была предметом проверки суда округа, постановлением Арбитражного суда Московского округа от 15.11.2022 2 определение суда первой инстанции от 07.06.2022 и постановление апелляционного суда от 07.09.2022 оставлены без изменения. Арбитражный суд Московского округа определением от 08.06.2023 определение окружного суда оставил без изменения. Дитюк А.И. обратился в Судебную коллегию Верховного Суда Российской Федерации с кассационной жалобой на определения суда кассационной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Проверив в порядке статьи 291 Арбитражного процессуального кодекса Российской Федерации законность судебного акта, правильность применения норм процессуального права, суд округа согласился с выводами суда кассационной инстанции о возвращении кассационной жалобы заявителя на основании пункта 1 части 1 статьи 281 Арбитражного процессуального кодекса Российской Федерации, указав на отсутствие процессуальной возможности повторного рассмотрения кассационной жалобы. Приведенные заявителем в кассационной жалобе доводы не подтверждают наличие оснований, предусмотренных частью 1 статьи 291.11 Арбитражного процессуального кодекса Российской Федерации, по которым кассационная жалоба может быть передана на рассмотрение в судебном заседании Судебной коллегии по экономическим спорам Верховного Суда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Кассационная жалоба в остальной части на иные указанные заявителем судебные акты рассмотрению в рамках настоящего кассационного производства не подлежит.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