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Оренбургской области обратился должник с ходатайством об исключении из конкурсной массы должника жилого дома. Определением Арбитражного суда Оренбургской области от 25.11.2022 в удовлетворении заявления отказано. Постановлением Восемнадцатого арбитражного апелляционного суда от 08.02.2023 определение суда первой инстанции отменено, заявление должника удовлетворено, жилой дом исключен из конкурсной массы должника. Арбитражный суд Уральского округа постановлением от 06.06.2023 постановление суда апелляционной инстанции оставил без изменения. Финансовый управляющий имуществом должника ФИО1 обратилась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содержащимися в постановлениях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дом является единственным пригодным для проживания должника и членов его семьи жильем.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ИП Гафиятов Канзель Мияссарович (подробнее) Иные лица: Арбитражный суд Уральского округа (подробнее) Восточный экспресс банк (подробнее) ИП Графиятов (подробнее) ООО "Страховая компания "ТИТ" (подробнее) Отдел по вопросам миграции ОМВД России по Белебеевскому району Республики Башкортостан (подробнее) ФГБУ по Оренбургской области (подробнее) ФНС России Межрайонная инспекция №27 по Республике Башкортостан (подробнее) ф/ у Чикризов А.Н.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