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Дитюка А.И. определением Арбитражного суда города Москвы от 15.07.2022 назначено судебное заседание по рассмотрению ходатайства финансового управляющего об истребовании документов и сведений у должника. Определением Девятого арбитражного апелляционного суда от 29.08.2022 апелляционная жалоба возвращена на основании пункта 2 части 1 статьи 264 Арбитражного процессуального кодекса Российской Федерации. Определением Арбитражного суда Московского округа от 17.04.2023 кассационная жалоба возвращена на основании пункта 5 части 1 статьи 281 Арбитражного процессуального кодекса Российской Федерации, поскольку подана на судебный акт, который не был предметом рассмотрения в суде апелляционной инстанции по существу, доказательства отказа судом апелляционной инстанции в восстановлении пропущенного срока подачи апелляционной жалобы отсутствуют. Арбитражный суд Московского округа определением от 08.06.2023 определение окружного суда оставил без изменения. 2 Дитюк А.И. обратился в Судебную коллегию Верховного Суда Российской Федерации с кассационной жалобой на определения суда кассационной инстанции, ссылаясь на существенные нарушения норм права. 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Кассационная жалоба в остальной части на иные указанные заявителем судебные акты рассмотрению в рамках настоящего кассационного производства не подлежит.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