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Дубровского А.Б. Арбитражным судом Челябинской области рассмотрен объединенный спор по заявлению АО «Кредит Урал Банк» (АО «КУБ») о включении в реестр требований кредиторов должника требования в сумме 132 684 095 рублей 01 копейки с учетом уступки права требования к основному должнику в пользу ООО «Интекс», ООО «Символ бетон» и Дубровской А.Б. и по заявлению Дубровской А.Б. о правопреемстве и о включении в реестр требований кредиторов должника требования в общей сумме 342 684 095 рублей 01 копейки основной задолженности. Определением Арбитражного суда Челябинской области от 02.11.2022 в удовлетворении заявлений банка и Дубровской А.Б. отказано. Постановлением Восемнадцатого арбитражного апелляционного суда от 06.02.2023 определение суда первой инстанции в части отказа в удовлетворении заявления Дубровской А.Б. отменено; заявление Дубровской А.Б. о замене кредитора АО «КУБ» удовлетворено в части суммы 10 000 000 рублей; требование Дубровской А.Б. в указанной сумме признано 2 обоснованным и подлежащим удовлетворению в очередности, предшествующей распределению ликвидационной квоты в реестре требований кредиторов должника; в удовлетворении заявления Дубровской А.Б. в остальной части отказано; в остальной части определение суда первой инстанции оставлено без изменения. Арбитражный суд Уральского округа постановлением от 31.05.2023 отменил постановление апелляционного суда и оставил в силе решение суда первой инстанции. Дубровская А.Б. и АО «КУБ» обратились в Судебную коллегию Верховного Суда Российской Федерации с кассационными жалобами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спор, суды всех инстанций исходили из того, что в соответствии с договором цессии (уступки прав требования) от 14.01.2021 его сторонами достигнуто соглашение об отчуждении банком права требования к должнику – Дубровскому А.Б. в полном объеме, включая судебные расходы, в связи с чем отсутствуют основания для включения требования банка в реестр требований кредиторов должника. Отказывая во включении требования Дубровской А.Б. в реестр требований кредиторов должника, суды первой и кассационной инстанций исходили из наличия в данном случае соглашения о покрытии внутри семьи Дубровских.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