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сделками актов зачета взаимных требований от 31.12.2019 на сумму 21 070 928 рублей 45 копеек и от 18.12.2020 на сумму 2 188 664 рубля 41 копейка, заключенных между должником и Фондом капитального ремонта многоквартирных домов города Москвы; применении последствий недействительности сделок. Определением Арбитражного суда города Москвы от 07.10.2022, оставленным без изменения постановлениями Девятого арбитражного апелляционного суда от 18.01.2023 и Арбитражного суда Московского округа от 25.04.2023, признан недействительным акт зачета взаимных требований от 18.12.2020; применены последствия недействительности сделки в виде восстановления права требования должника к Фонду капитального ремонта многоквартирных домов города Москвы на общую сумму 2 188 664 рубля 41 копейка и право требования Фонда капитального ремонта многоквартирных домов города Москвы к должнику на общую сумму 2 188 664 рубля 41 копейка. В удовлетворении остальной части заявления отказано. В кассационной жалобе, поданной в Верховный Суд Российской Федерации, заявитель просит отменить оспариваемые судебные акты в части, 2 дело направить на новое рассмотрение в суд первой инстанции. Исходя из доводов жалобы, заявитель не согласен с судебными актами в части отказа в признании недействительным акта зачета взаимных требований от 31.12.2019. Жалоба изучена в пределах заявленных в ней доводов.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291.11 Арбитражного процессуального кодекса Российской Федерации). Рассмотрев доводы кассационной жалобы, изучив судебные акты, судья полагает, что они не свидетельствуют о наличии оснований, предусмотренных статьей 291.11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