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городского округа Лобня Московской области (далее – администрация) обратилась в суд с заявлением о включении в реестр требований кредиторов должника (далее – реестр) задолженности в общем размере 47 794 593 рублей. Определением Арбитражного суда города Москвы от 06.04.2022, оставленным без изменения постановлением Девятого арбитражного апелляционного суда от 15.06.2022, в удовлетворении заявления отказано. Постановлением Арбитражного суда Московского округа от 07.09.2022 вышеуказанные судебные акты отменены, спор направлен на новое рассмотрение в суд первой инстанции. На новом рассмотрении спора определением Арбитражного суда города Москвы от 09.12.2022, оставленным без изменения постановлениями Девятого арбитражного апелляционного суда от 15.02.2023 и Арбитражного суда Московского округа от 10.05.2023, заявление удовлетворено в части признания обоснованным требования администрации в размере 17 100 467 рублей и включения его четвертую очередь реестра.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2 обособленный спор на новое рассмотрение в суд первой инстанции. Исходя из доводов кассационной жалобы, заявитель не согласен с обжалуемыми судебными актами судов в удовлетворённой части заявленных администрацией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суды, руководствуясь статьями 201.1, 201.4, 201.9 Федерального закона от 26.10.2002 № 127-ФЗ «О несостоятельности (банкротстве)», исходили из доказанности наличия у должника неисполненных обязательств перед администрацией по заключенному с ней инвестиционному контракту, в связи с чем признали требование о передаче жилых помещений (трёх квартир) подлежащим трансформации в денежное с удовлетворением в составе четвёртой очереди реестра.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