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отметке службы экспресс доставки) 10.08.2023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А51-6291/2022 является постановление Арбитражного суда Дальневосточного округа от 02.06.2023, вступившее в законную силу, согласно части 5 статьи 289 АПК РФ, со дня его принятия – 02.06.2023, следовательно, двухмесячный срок на подачу кассационной жалобы истек 02.08.2023. Одновременно с подачей жалобы обществом заявлено ходатайство о восстановлении пропущенного процессуального срока, однако причины пропуска срока заявителем не указаны. Заявитель полагает, что на момент изготовления кассационной жалобы (01.08.2023) срок ее подачи не истек.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пропуска процессуального срока на подачу жалобы заявителем не приведено, в связи с чем не имеется оснований для его восстановления.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«Портнефтесервис» в удовлетворении ходатайства о восстановлении пропущенного процессуального срока подачи кассационной жалобы на решение Арбитражного суда Приморского края от 02.12.2022 по делу № А51-6291/2022, постановление Пятого арбитражного апелляционного суда от 16.03.2023 и постановление Арбитражного суда Дальневосточного округа от 02.06.2023 по тому же делу. Жалобу ООО «Портнефтесервис»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