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перечисление должником индивидуальному предпринимателю Одинцову Михаилу Викторовичу 15 149 499 рублей 92 копеек. В ходе рассмотрения обособленного спора конкурсный управляющий заявил ходатайство об отказе от заявления. Банк выступил против принятия отказа, поддержал заявленные требования. Определением Арбитражного суда Омской области от 25.10.2022 с согласия банка произведена замена истца по настоящему требованию с конкурсного управляющего должником на банк. Определением Арбитражного суда Омской области от 30.01.2023, оставленным без изменения постановлением Восьмого арбитражного апелляционного суда от 20.03.2023 и постановлением Арбитражного суда Западно-Сибирского округа от 15.06.2023, отказано в удовлетворении требований; с банка в доход федерального бюджета взыскано 6 000 рублей государственной пошлины. 2 В кассационной жалобе, поданной в Верховный Суд Российской Федерации, заявитель просит изменить названные судебные акты в части распределения расходов по уплате государственно пошлины.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110 Арбитражного процессуального кодекса Российской Федерации, исходили из того, что обязанность по погашению названных расходов лежит на банке как на заявителе по настоящему требованию, в удовлетворении которого отказано.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