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кассационной жалобе, являлись предметом рассмотрения судов и получили правовую оценку с учетом установленных обстоятельств дела. Несогласие заявителя с выводами судов, иная оценка им фактических обстоятельств дела и иное применение к ним положений закона не свидетельствуют о наличии оснований для пересмотра судебных актов Судебной коллегией Верховного Суда Российской Федерации.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 Пак»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