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Переоценка доказательств, на которую направлены доводы жалобы, и установление на её основе иных фактических обстоятельств дела не относятся к 2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«Ингви-Трейд»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