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01.12.2022, оставленным без изменения постановлением Арбитражного суда Волго-Вятского округа от 17.05.2023,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