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28.11.2022 процедура реализации имущества ФИО1 завершена, к должнику не применены правила об освобождении от дальнейшего исполнения обязательств перед кредиторами. Постановлением Восемнадцатого арбитражного апелляционного суда от 27.01.2023 определение суда первой инстанции оставлено без изменения. Арбитражный суд Уральского округа постановлением от 02.05.2023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от дальнейшего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Федерального закона от 26.10.2002 № 127-ФЗ «О несостоятельности (банкротстве)», разъяснениями, изложенными в пункте 45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недобросовестного поведения должника, выразившегося в принятии на себя заведомо неисполнимых кредитных обязательств.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"Россельхозбанк" в лице Челябинского регионального филиала (подробнее) Ассоциация "МСОПАУ" (подробнее) ПАО Банк ВТБ Филиал №6602 (подробнее) ПАО Банк "ФК Открытие" (подробнее) ПАО Сбербанк в лице филиала- Уральский банк Сбербанк Челябинское отделение №8597 (подробнее) Иные лица: Союз "МЦАУ"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