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Баласаняна Г.У. в Арбитражный суд Московской области обратилась Семенихина Жанна Германовна с заявлением о включении в реестр требований кредиторов должника требований в размере 525 709 рублей по договору займа от 08.05.2020 и в размере 487 914 рублей по договору займа от 24.08.2020. Определением Арбитражного суда Московской области от 11.08.2022 требования кредитора признаны обоснованными и включены в третью очередь реестра требований кредиторов должника. Постановлением Десятого арбитражного апелляционного суда от 02.03.2023 определение суда первой инстанции оставлено без изменения. Арбитражный суд Московского округа постановлением от 29.05.2023 указанные судебные акты оставил без изменения. Финансовый управляющий Карданова Ю.В.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16, 69 Арбитражного процессуального кодекса Российской Федерации, статьями 309, 310, 807, 809 Гражданского кодекса Российской Федерации, статьями 16,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учли вступившее в законную силу решение суда общей юрисдикции и исходили из доказанности факта реальной передачи должнику денежных средств по спорным договорам займа, наличия у кредитора финансовой возможности для предоставления займа и отсутствия доказательств исполнения должником обязательств по возврату займа, в связи с чем признали заявленные требования обоснованными и подлежащими включению в реестр требований кредиторов третьей очереди.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