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Рязанской области от 13.09.2022, оставленным без изменения постановлением Двадцатого арбитражного апелляционного суда от 16.02.2023 и постановлением Арбитражного суда Центрального округа от 18.04.2023, требования включены в третью очередь реестра. В кассационной жалобе Попова Е.А. просит об отмене судебных актов, ссылаясь на завышение размера процентов и неустойки, неуменьшение неустойки.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размер процентов за пользование займом определен судом общей юрисдикции, а неустойка для включения в реестр не предъявлялась.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Поповой Елене Анатольевне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