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15.11.2022, оставленным без изменения постановлением Девятого арбитражного апелляционного суда от 27.01.2023 и постановлением Арбитражного суда Московского округа от 02.05.2023, иск удовлетворен. В кассационной жалобе акционерное общество «Шенкер» просит об отмене судебных актов, ссылаясь на противоречие в правовой квалификации требований, нарушение пределов ответственности экспедитора.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Независимо от правовой квалификации требований, находящейся в компетенции судов, взысканы реально понесенные истцом в связи с исполнением обязательства расходы. Ответственность применена за собственные действия экспедитора, каковыми в силу договора являются действия привлеченных им лиц.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«Шенкер»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