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05.08.2022, оставленным без изменения постановлением Первого арбитражного апелляционного суда от 07.12.2022 и постановлением Арбитражного суда Волго-Вятского округа от 19.04.2023, в удовлетворении заявления отказано. В кассационной жалобе Матвеев А.О. просит об отмене судебных актов, ссылаясь на неправильные выводы в отношении обстоятельств совершения спорных денежных операций.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совершения и характер платежей суды признали не создающими их недействительности в силу статей 61.2, 61.3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Матвееву Алексею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