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28.12.2022, оставленным без изменения постановлением Второго арбитражного апелляционного суда от 06.04.2023, в удовлетворении ходатайства должника о передаче дела по подсудности отказано, заявление общества с ограниченной ответственностью «Дирекция комплекса «Торговый двор» (кредитора) признано обоснованным, в отношении должника введена процедура реструктуризации долгов гражданина, утвержден финансовый управляющий, требование кредитора включено в третью очередь реестра. В кассационной жалобе Павличенко Г.Ю. просит об отмене судебных актов в части отказа в удовлетворении ходатайства о передаче дела на рассмотрение в другой суд, ссылаясь на нарушение правил подсудности.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Разрешая вопрос о территориальной подсудности, суды руководствовались статьей 38 Арбитражного процессуального кодекса Российской Федерации, статьей 33 Федерального закона от 26.10.2002 № 127-ФЗ «О несостоятельности (банкротстве)», статьей 20 Гражданского кодекса Российской Федерации и установленными фактами проживания должника и осуществления им основной деятельности в городе Сыктывкар. Заложенное в доводах жалобы оспаривание выводов судов, сделанных по результату исследования и оценки обстоятельств спора, не образует обозначенных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Павличенко Галине Юрьевне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