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29.11.2022, оставленным без изменения постановлением Девятого арбитражного апелляционного суда от 16.02.2023 и постановлением Арбитражного суда Московского округа от 26.04.2023, требование Контяева А.В. в размере 150 000 000 рублей признано обоснованным и включено в третью очередь реестра с отказом в установлении залогового статуса. В кассационной жалобе Акимов В.В. просит об отмене судебных актов, ссылаясь на неосновательные отклонение заявления о фальсификации доказательств и ходатайства об отложении рассмотрения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 фальсификации доказательства и ходатайство об отложении рассмотрения спора компетентно рассмотрены судом первой инстанции и возражения в отношении результата их рассмотрения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Акимову Виктору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