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доказательства, представленные заявителем в обоснование несения судебных расходов, руководствуясь положениями действующего процессуального законодательства, учитывая степень сложности дела, объем выполненной представителем работы, сложившуюся стоимость 2 оплаты на соответствующие юридические услуги, исходя из принципов разумности и соразмерности, суды частично удовлетворили заявление о взыскании судебных расходов. Доводы кассационной жалобы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Манько Юрия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