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Волго-Вятского округа от 05.12.2022, оставленным без изменения определением того же суда от 12.05.2023,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