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Арбитражного суда Московского округа от 02.05.2023, определение Арбитражного суда города Москвы от 22.12.2022 и постановление Девятого арбитражного апелляционного суда от 16.02.2023 отменены, спор направлен на новое рассмотрение в суд первой инстанции. В кассационной жалобе Пирог А.М. просит отменить постановление окружного суда как незаконное.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Суд округа, признав необходимость нового рассмотрения спора для установления не исследованных судом нижестоящей инстанции значимых обстоятельств, имеющих действовал в пределах полномочий, предоставленных статьями 286 - 288 Арбитражного процессуального кодекса Российской Федерации.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Пирогу Андрею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