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26.10.2022, оставленным без изменения постановлением Первого арбитражного апелляционного суда от 07.02.2023 и постановлением Арбитражного суда Волго-Вятского округа от 04.05.2023, процедура реализации имущества завершена без применения в отношении должника правил об освобождении от дальнейшего исполнения обязательств. В кассационной жалобе Дунец А.С. просит об отмене судебных актов, ссылаясь на недоказанность его недобросовестности.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Обстоятельства доказывания и оценки доказательств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Дунцу Андрею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