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«ГК Пеликан» обратилось в Арбитражный суд города Санкт- Петербурга и Ленинградской области с иском, уточненным в порядке статьи 49 Арбитражного процессуального кодекса Российской Федерации, о взыскании с ООО «Региональная Сервисная компания» 7 329 800 рублей задолженности по оплате услуг, оказанных в период с 30.11.2020 по 31.03.2021, и 567 259 рублей 92 копеек процентов за пользование чужими денежными средствами. Решением Арбитражного суда города Санкт-Петербурга и Ленинградской области от 22.09.2022 иск удовлетворен. Постановлением Тринадцатого арбитражного апелляционного суда от 23.01.2023 решение суда первой инстанции оставлено без изменения. Арбитражный суд Северо-Западного округа постановлением от 04.05.2023 указанные судебные акты оставил без изменения. ООО «Региональная Сервисная Компания»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202, 309, 310, 785, 790 Гражданского кодекса Российской Федерации, признав доказанным факт оказания услуг в спорный период и установив просрочку исполнения ответчиком обязательств по их оплате, суды пришли к выводу об обоснованности иска, признав срок исковой давности не пропущенным.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