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цепочки сделок: договора займа от 26.06.2012 № STR–O, заключённого между иностранной компанией «Орион трэйдинг Лтд.» (далее – компания) и должником в части предоставления займа в размере 102 900 000 рублей; договора процентного займа от 25.07.2012, заключённого должником с обществом с ограниченной ответственностью «Автомаркет»; признании не возникшим права требования компании к должнику на сумму 102 900 000 рублей. Определением Арбитражного суда Калининградской области от 07.07.2022, оставленным без изменения постановлениями Тринадцатого арбитражного апелляционного суда от 08.11.2022 и Арбитражного суда Северо-Западного округа от 21.04.2023,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170 Гражданского кодекса Российской Федерации, исходили из того, что оспариваемые договоры займа заключены за пределами сроков предпочтения и подозрительности, исполнены сторонами, а транзитный характер движения денежных средств не подтверждён, в связи с чем не установили совокупности условий для признания недействительными оспариваемых сделок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