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Красников М.В. обратился в суд с заявлением об отмене обеспечительных мер, принятых постановлением Арбитражного суда Московского округа от 18.02.2020 в отношении принадлежащих ему денежных средств и иного имущества. Определением Арбитражного суда Московской области от 24.10.2022, оставленным без изменения постановлением Десятого арбитражного апелляционного суда от 24.01.2023, заявление удовлетворено. Постановлением Арбитражного суда Московского округа от 19.04.2023 названные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суд округа руководствовался положениями статьи 97 Арбитражного процессуального кодекса Российской Федерации, пунктом 22 постановления Пленума Высшего Арбитражного Суда Российской Федерации от 12.10.2006 № 55 «О применении арбитражными судами обеспечительных мер» и исходил из того, что основания для принятия обеспечительных мер не отпали (обособленный спор о привлечении заявителя и иных контролирующих должника лиц к субсидиарной ответственности по обязательствам должника находится на новом рассмотрении), а их действие, само по себе, не может рассматриваться как нарушение баланса сторон и прав заявителя, поскольку они направлены на предотвращение возможного нарушения имущественных интересов конкурсных кредиторов, служат гарантией фактической исполнимости принимаемого по делу судебного акта.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