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26.12.2022, оставленным без изменения постановлением Арбитражного суда Волго-Вятского округа от 12.05.2023,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