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Пятнадцатого арбитражного апелляционного суда от 20.04.2023, оставленным без изменения постановлением Арбитражного суда Северо-Кавказского округа от 18.05.2023, апелляционная жалоба Рясина А.В. на определение Арбитражного суда Краснодарского края от 18.01.2022 возвращена на основании пунктов 1, 3 части 1 статьи 264 Арбитражного процессуального кодекса Российской Федерации. В кассационной жалобе заявитель просит о пересмотре судебных актов, ссылаясь на наличие права на экстраординарное обжалование.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При определении права заявителя на обжалование судебных актов, принятых в деле о банкротстве должника суды правомерно руководствовались статьями 34, 35 Федерального закона от 26.10.2002 № 127-ФЗ «О несостоятельности (банкротстве)», статьями 42, 264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Рясину Андрею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