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Московской области от 12.05.2020 признаны обоснованными и подлежащими включению в третью очередь реестра требований кредиторов должника (далее – реестр) требования Балаева В.Н. в размере 328 020 рублей 50 копеек. Впоследствии Балаев В.Н. обратился в суд с заявлением о внесении изменений в реестр и пересмотре определения суда первой инстанции от 12.05.2020 по вновь открывшимся обстоятельствам. Определением Арбитражного суда Московской области от 16.12.2022 отказано в удовлетворении заявления. Постановлением Десятого арбитражного апелляционного суда от 15.02.2023, оставленным без изменения постановлением Арбитражного суда Московского округа от 11.05.2023, частично отменено определение суда первой инстанции от 16.12.2022; в первую очередь реестра включены требования Балаева В.Н. в сумме 21 428 рублей 92 копейки (расходы на лечение), в третью очередь реестра включено 306 591 рубль 58 копеек. В остальной части определение оставлено без изменения. В кассационной жалобе, поданной в Верховный Суд Российской Федерации, заявитель просит отменить названные судебные акты и принять 2 новый судебный акт о включении требований Балаева В.Н. в первую очередь реестра.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статьи 134 Федерального закона от 26.10.2002 № 127-ФЗ «О несостоятельности (банкротстве)», исходили из отсутствия оснований для изменения очерёдности удовлетворения требований Балаева В.Н. в размере 306 591 рубль 58 копеек, как требований, возникших из гражданско-правовых отношений о возмещении ущерба имуществу заявителя. Выводы судов в обжалуемой части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