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25.11.2022, оставленным без изменения постановлением Семнадцатого арбитражного апелляционного суда от 17.01.2023 и постановлением Арбитражного суда Уральского округа от 21.04.2023, в удовлетворении заявления отказано. В кассационной жалобе общество просит об отмене судебных актов вследствие неверной оценки обстоятельств спора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представленные доказательства наличия заемного обязательства и признали их не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в реестре должника.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«Санар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