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города Москвы от 08.06.2022 удовлетворено заявление конкурсного управляющего должником о привлечении ФИО1 к субсидиарной ответственности по обязательствам должника со взысканием в пользу последнего 1 048 625 рублей 66 копеек. Впоследствии 07.03.2023 ФИО1 направила в апелляционный суд жалобу на указанное определение суда первой инстанции от 08.06.2022, ходатайствуя о восстановлении пропущенного срока подачи жалобы. Определением Девятого арбитражного апелляционного суда от 21.03.2023, оставленным без изменения постановлением Арбитражного суда Московского округа от 04.05.2023, апелляционная жалоба возращена заявителю. В кассационной жалобе, поданной в Верховный Суд Российской Федерации, заявитель просит отменить названные определение апелляционного суда и постановление суда округа, направить апелляционную жалобу для рассмотрения по существу. Письмом Верховного Суда Российской Федерации от 03.07.2023 № 305-ЭС23-13925 кассационная жалоба заявителя в части обжалования определения суда первой инстанции от 08.06.2022 возвращена без рассмотрения на основании пункта 5 части 1 статьи 291.5 Арбитражного процессуального кодекса Российской Федерации, как поданная с нарушением правил, установленных частью 2 статьи 291.1 Арбитражного процессуального кодекса Российской Федерации.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Возвращая жалобу, апелляционный суд, руководствуясь положениями статьи 264 Арбитражного процессуального кодекса Российской Федерации, пришёл к выводу об отсутствии уважительных причин пропуска процессуального срока на подачу жалобы заявителем, который был надлежащем образом извещён о судебном процессе. Проверяя обоснованность возврата апелляционной жалобы, суд округа не установил нарушений норм процессуального права и согласился с указанными выводами апелляционного суда, обоснованно отклонив доводы заявителя.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указанных судебных актов, судами не допущено.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ООО "Ингосстрах" (подробнее) ПАО Страховое "Ингосстрах" (подробнее) Ответчики: ООО "Виктория" (подробнее) Иные лица: Ассоциации ВАУ "Достояние" (подробнее) ИФНС №7 ПО Г. МОСКВЕ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