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05.12.2022, оставленным без изменения постановлением Третьего арбитражного апелляционного суда от 28.02.2023 и постановлением Арбитражного суда Восточно-Сибирского округа от 15.05.2023, разногласия разрешены: исчисление алиментов определено от размера средней заработной платы в Российской Федерации на момент взыскания задолженности. В кассационной жалобе Русанова О.А. просит об отмене указанных судебных актов, ссылаясь на необходимость исчисления алиментов из доходов, полученных от продажи имущества и взыскания дебиторской задолженности.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Определение видов дохода для исчисления алиментов основано на постановлении Правительства от 02.11.2021 № 1908 и позициях Конституционного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Русановой Ольге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