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25.01.2023, оставленным без изменения постановлением Второго арбитражного апелляционного суда от 30.03.2023 и постановлением Арбитражного суда Волго-Вятского округа от 02.06.2023, процедура реализации имущества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перед банком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