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Тверской области от 06.09.2022, оставленным без изменения постановлением Четырнадцатого арбитражного апелляционного суда от 23.11.2022 и постановлением Арбитражного суда Северо-Западного округа от 17.04.2023, процедура реализации имущества завершена, должник освобожден от дальнейшего исполнения требований кредиторов. В кассационной жалобе общество просит об отмене судебных актов, ссылаясь на игнорирование обстоятельств, препятствующих освобождению от исполнения обязательства.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Причиненный должником имущественный вред возмещен обществом и возникшее суброгационное обязательство должника не относится к тем, от исполнения которых в силу пунктов 4, 5 статьи 213.28 Федерального закона от 26.10.2002 № 127-ФЗ «О несостоятельности (банкротстве)» должник не может быть освобожден по завершении процедуры банкротства. Иная оценка кредитором обязательства должник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«ПСБ-Страхование»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