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05.12.2022, оставленным без изменения определением того же суда от 12.05.2023,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2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