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суда. Определением Арбитражного суда Костромской области от 02.09.2022, оставленным без изменения постановлением Второго арбитражного апелляционного суда от 01.12.2022 и постановлением Арбитражного суда Волго-Вятского округа от 19.05.2023,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