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Ссылка подателя жалобы на иные судебные акты в обоснование своей позиции не свидетельствует о нарушении судами при рассмотрении настоящего спора единообразия в толковании и применении норм материального права с учетом обстоятельств дела.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«ЕВРАЗ Торговая компания»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