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суда. Определением Арбитражного суда Костромской области от 14.09.2022, оставленным без изменения постановлением Второго арбитражного апелляционного суда от 17.11.2022 и постановлением Арбитражного суда Волго-Вятского округа от 19.05.2023,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