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Московской области обратился ФИО1 с заявлением о включении в реестр требований кредиторов задолженности в размере 94 878 061 рубля 13 копеек, в том числе 30 008 000 рублей основной долг, 54 103 190 рублей 73 копейки проценты, 10 766 870 рублей 40 копеек пени, как обеспеченной залогом имущества должника. Определением Арбитражного суда Московской области от 12.10.2022 признано обоснованным и подлежащим включению в третью очередь реестра требований кредиторов должника требование ФИО1 в заявленном размере; в удовлетворении заявления в остальной части отказано. Постановлением Десятого арбитражного апелляционного суда от 10.02.2023 определение суда первой инстанции отменено, признано обоснованным и подлежащим включению в третью очередь реестра требований кредиторов должника требование ФИО1 в размере 46 808 888 рублей 65 копеек, из которых 30 008 000 рублей основной долг, 13 840 235 рублей 91 копейка проценты, 2 960 652 рубля 74 копейки пени; в удовлетворении заявления в остальной части отказано. Арбитражный суд Московского округа постановлением от 03.05.2023 постановление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в части снижения процентов по договору займа,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исполнение кредитором договора займа, наличие у кредитора финансовой возможности предоставить заем в оспариваемой сумме, отсутствие доказательств возврата денежных средств должником, руководствуясь статьями 309 , 310 , 330 , 807 , 809 , 810 Гражданского кодекса Российской Федерации, суды пришли к выводу об обоснованности заявленных требований. Уменьшая сумму пеней ввиду ее явной несоразмерности последствиям нарушения обязательства, суд апелляционной инстанции руководствовался статьей 333 Гражданского кодекса Российской Федерации. Изменяя размер процентов за пользование займом, суды апелляционной и кассационной инстанций руководствовались положениями статей 10 , 809 Гражданского кодекса Российской Федерации и исходили из принципа добросовестного поведения участников гражданских правоотношений, предполагающего разумность и справедливость взаимных обязательств, соблюдение баланса интересов сторон.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арбитражных управляющих "Паритет" (подробнее) АТАЛЬЯН ИРИНА ВЛАДИМИРОВНА (подробнее) ИП Рудаков Андрей Евгеньевич (подробнее) НП " Центр финансового оздоровления предприятий агропромышленного комплекса" (подробнее) Судьи дела: Зарубина Е.Н. (судья) Судебная практика по: Злоупотребление правом Судебная практика по применению нормы ст. 10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