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11.11.2022, оставленным без изменения постановлением Девятого арбитражного апелляционного суда от 26.01.2023 и постановлением Арбитражного суда Московского округа от 17.04.2023, процедура реализации имущества гражданина завершена без применения в отношении должника правил об освобождении от дальнейшего исполнения обязательств. В кассационной жалобе ФИО1 просит об отмене судебных актов, ссылаясь на несоответствие вывода судов о его недобросовестности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 факты поведения должника, в связи с которым он не освобожден от исполнения обязательств по завершении процедур банкротства, указал окружной суд, проверяя аналогичные заявленным в рассматриваемой жалобе доводы должника. Доводы противоречат установленным обстоятельствам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Почта Банк (подробнее) ИФНС №35 по г. Москве (подробнее) Марьяновская.В.А (подробнее) ООО "АССЕЙ" (подробнее) ООО "Квантрон Медиа" (подробнее) ООО "МОСКОВСКИЙ ПРАВОВОЙ ЦЕНТР" ФЕМИДА" (подробнее) Иные лица: АО "Авиакомпания "Россия" (подробнее) Воробьёва Анна Сергеевна (подробнее) ГУ МВД России по г. Москве (подробнее) Управление Росреестра по г. Москве (подробнее) ФЕДЕРАЛЬНАЯ НОТАРИАЛЬНАЯ ПАЛАТА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