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Дубинова Д.В. в Арбитражный суд Нижегородской области обратился Кузнецов А.А. – финансовый управляющий имуществом Миронова В.Н. с заявлением о включении в реестр требований кредиторов должника требования в размере 1 005 373 рублей 25 копеек. Определением Арбитражного суда Нижегородской области от 05.10.2022, оставленным без изменения постановлением Первого арбитражного апелляционного суда от 25.01.2023 и постановлением Арбитражного суда Волго-Вятского округа от 05.05.2023, в удовлетворении заявления отказано. ООО «Трехсосенский» и финансовый управляющий Кузнецов А.А. обратились в Судебную коллегию Верховного Суда Российской Федерации с кассационными жалобами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Установив, что Миронов В.Н., как один из сопоручителей, исполнил обязательство перед ООО «Трехсосенский» в части (в размере 1 005 373 рублей 25 копеек), не превышающей размер его доли в обеспечении, суды пришли к выводу о том, что у него не возникло право регрессного требования к сопоручителю Дубинову Д.В.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