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судами норм материального и процессуального права, просит пересмотреть указанные судебные акты в кассационном порядке.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Принимая обжалуемые судебные акты, суды, исследовав и оценив представленные в материалы дела доказательства, руководствуясь положениями законодательства, регулирующего спорные правоотношения, 2 исходя из установленных фактических обстоятельств спора, пришли к выводу о доказанности совокупности условий, необходимых для привлечения заявителя к ответственности в виде возмещения причиненных истцу убытков. Из содержания судебных актов следует, что суды всесторонне исследовали доказательства по делу, установили необходимые для разрешения спора обстоятельства и дали надлежащую правовую оценку доводам заявителя. Доводы кассационной жалобы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«ОРТЭМ»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