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Замалтдинова Р.А. обратилась в суд с заявлением об исключении из конкурсной массы должника имущества: 1/2 доли в праве собственности на жилой дом с кадастровым номером 16:14:140101:94 и 1/2 доли в праве собственности на земельный участок с кадастровым номером 16:14:140101:83. Определением Арбитражного суда Республики Татарстан от 17.10.2022, оставленным без изменения постановлениями Одиннадцатого арбитражного апелляционного суда от 25.01.2023 и Арбитражного суда Поволжского округа от 17.04.2023,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оценив представленные доказательства, руководствуясь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(банкротстве)», установив, что спорное имущество не является единственным пригодным для проживания помещением, пришли к выводу об отсутствии оснований для его исключения из конкурсной массы должника.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и материалам дела не установлено.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