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Доводы, изложенные в кассационной жалобе, повторяют правовую позицию заявителя по спору, являлись предметом рассмотрения судов и получили правовую оценку с учетом установленных обстоятельств дела. Несогласие с выводами судов, вытекающее из доводов кассационной жалобы,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 Санкт-Петербург»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"ЕВ Санкт-Петербург" (подробнее) Ответчики: Управление Федеральной антимонопольной службы по Санкт-Петербургу (подробнее) Иные лица: АС СПб и ЛО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