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статьями 117, 318, 319, 321, 322 Арбитражного процессуального кодекса Российской Федерации, исходя из установленных фактических обстоятельств, суды пришли к выводу о наличии оснований 2 для восстановления взыскателю срока для предъявления исполнительного листа к исполнению. Доводы кассационной жалобы не подтверждают существенных нарушений судами норм права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Ямбулатова Николая Андреевича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