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16.12.2022, оставленным без изменения постановлением Десятого арбитражного апелляционного суда от 01.02.2023 и постановление Арбитражного суда Московского округа от 21.04.2023, в удовлетворении заявления отказано. В кассационной жалобе АО «Юридическое Бюро ФАКТОРИУС» просит об отмене судебных актов, ссылаясь на неправильные выводы в отношении оснований заявленного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возникновения залога в силу закона и наличие в силу статьи 446 Гражданского процессуального кодекса Российской Федерации и пункта 3 статьи 213.25 Федерального закона от 26.10.2002 № 127-ФЗ «О несостоятельности (банкротстве)» у имущества исполнительского иммунитета. Требуемая переоценка установленных обстоятельств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АО «Юридическое Бюро ФАКТОРИУС»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